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lang w:val="en-US" w:eastAsia="zh-CN"/>
        </w:rPr>
        <w:t>8</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R2-220</w:t>
      </w:r>
      <w:r>
        <w:rPr>
          <w:rFonts w:hint="eastAsia" w:ascii="Arial" w:hAnsi="Arial" w:cs="Arial"/>
          <w:b/>
          <w:bCs/>
          <w:snapToGrid w:val="0"/>
          <w:kern w:val="0"/>
          <w:sz w:val="24"/>
          <w:lang w:val="en-US" w:eastAsia="zh-CN"/>
        </w:rPr>
        <w:t>5411</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09</w:t>
      </w:r>
      <w:r>
        <w:rPr>
          <w:rFonts w:hint="eastAsia" w:ascii="Arial" w:hAnsi="Arial" w:cs="Arial"/>
          <w:b/>
          <w:bCs/>
          <w:kern w:val="0"/>
          <w:sz w:val="24"/>
          <w:vertAlign w:val="superscript"/>
          <w:lang w:val="en-US" w:eastAsia="zh-CN"/>
        </w:rPr>
        <w:t>th</w:t>
      </w:r>
      <w:r>
        <w:rPr>
          <w:rFonts w:hint="eastAsia" w:ascii="Arial" w:hAnsi="Arial" w:cs="Arial"/>
          <w:b/>
          <w:bCs/>
          <w:kern w:val="0"/>
          <w:sz w:val="24"/>
        </w:rPr>
        <w:t xml:space="preserve"> </w:t>
      </w:r>
      <w:r>
        <w:rPr>
          <w:rFonts w:hint="eastAsia" w:ascii="Arial" w:hAnsi="Arial" w:cs="Arial"/>
          <w:b/>
          <w:bCs/>
          <w:kern w:val="0"/>
          <w:sz w:val="24"/>
          <w:lang w:val="en-US" w:eastAsia="zh-CN"/>
        </w:rPr>
        <w:t>May</w:t>
      </w:r>
      <w:r>
        <w:rPr>
          <w:rFonts w:hint="eastAsia" w:ascii="Arial" w:hAnsi="Arial" w:cs="Arial"/>
          <w:b/>
          <w:bCs/>
          <w:kern w:val="0"/>
          <w:sz w:val="24"/>
        </w:rPr>
        <w:t xml:space="preserve"> - </w:t>
      </w:r>
      <w:r>
        <w:rPr>
          <w:rFonts w:hint="eastAsia" w:ascii="Arial" w:hAnsi="Arial" w:cs="Arial"/>
          <w:b/>
          <w:bCs/>
          <w:kern w:val="0"/>
          <w:sz w:val="24"/>
          <w:lang w:val="en-US" w:eastAsia="zh-CN"/>
        </w:rPr>
        <w:t>20</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May</w:t>
      </w:r>
      <w:r>
        <w:rPr>
          <w:rFonts w:ascii="Arial" w:hAnsi="Arial" w:cs="Arial"/>
          <w:b/>
          <w:bCs/>
          <w:kern w:val="0"/>
          <w:sz w:val="24"/>
        </w:rPr>
        <w:t xml:space="preserve"> </w:t>
      </w:r>
      <w:r>
        <w:rPr>
          <w:rFonts w:hint="eastAsia" w:ascii="Arial" w:hAnsi="Arial" w:cs="Arial"/>
          <w:b/>
          <w:bCs/>
          <w:kern w:val="0"/>
          <w:sz w:val="24"/>
        </w:rPr>
        <w:t>2022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b/>
          <w:bCs/>
          <w:snapToGrid w:val="0"/>
          <w:kern w:val="0"/>
          <w:sz w:val="24"/>
        </w:rPr>
        <w:t xml:space="preserve">Considerations on </w:t>
      </w:r>
      <w:r>
        <w:rPr>
          <w:rFonts w:hint="eastAsia" w:ascii="Arial" w:hAnsi="Arial" w:cs="Arial"/>
          <w:b/>
          <w:bCs/>
          <w:snapToGrid w:val="0"/>
          <w:kern w:val="0"/>
          <w:sz w:val="24"/>
          <w:lang w:val="en-US" w:eastAsia="zh-CN"/>
        </w:rPr>
        <w:t>the Left Issue for PDCCH Skipping</w:t>
      </w:r>
      <w:r>
        <w:rPr>
          <w:rFonts w:hint="eastAsia" w:ascii="Arial" w:hAnsi="Arial" w:cs="Arial"/>
          <w:b/>
          <w:bCs/>
          <w:snapToGrid w:val="0"/>
          <w:kern w:val="0"/>
          <w:sz w:val="24"/>
        </w:rPr>
        <w:t xml:space="preserve"> </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6</w:t>
      </w:r>
      <w:r>
        <w:rPr>
          <w:rFonts w:ascii="Arial" w:hAnsi="Arial" w:cs="Arial"/>
          <w:b/>
          <w:bCs/>
          <w:snapToGrid w:val="0"/>
          <w:kern w:val="0"/>
          <w:sz w:val="24"/>
        </w:rPr>
        <w:t>.9.3.</w:t>
      </w:r>
      <w:r>
        <w:rPr>
          <w:rFonts w:hint="eastAsia" w:ascii="Arial" w:hAnsi="Arial" w:cs="Arial"/>
          <w:b/>
          <w:bCs/>
          <w:snapToGrid w:val="0"/>
          <w:kern w:val="0"/>
          <w:sz w:val="24"/>
          <w:lang w:val="en-US" w:eastAsia="zh-CN"/>
        </w:rPr>
        <w:t>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w:t>
      </w:r>
      <w:bookmarkStart w:id="3" w:name="_GoBack"/>
      <w:bookmarkEnd w:id="3"/>
      <w:r>
        <w:rPr>
          <w:rFonts w:ascii="Arial" w:hAnsi="Arial" w:cs="Arial"/>
          <w:b/>
          <w:bCs/>
          <w:snapToGrid w:val="0"/>
          <w:kern w:val="0"/>
          <w:sz w:val="24"/>
        </w:rPr>
        <w:t>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rPr>
          <w:rFonts w:hint="eastAsia"/>
          <w:sz w:val="20"/>
          <w:lang w:val="en-US" w:eastAsia="zh-CN"/>
        </w:rPr>
      </w:pPr>
      <w:r>
        <w:rPr>
          <w:rFonts w:hint="eastAsia"/>
          <w:sz w:val="20"/>
          <w:lang w:val="en-US" w:eastAsia="zh-CN"/>
        </w:rPr>
        <w:t>For PDCCH skipping ,there is only one issue as shown below is left in RAN2#117emeeting：</w:t>
      </w:r>
    </w:p>
    <w:p>
      <w:pPr>
        <w:pStyle w:val="99"/>
      </w:pPr>
      <w:r>
        <w:t>FFS points: For the case when the UE ignores PDCCH skipping on all serving cells of the corresponding CG while SR is pending, FFS if “all” can be further restricted.</w:t>
      </w:r>
    </w:p>
    <w:p>
      <w:pPr>
        <w:rPr>
          <w:rFonts w:hint="default"/>
          <w:sz w:val="20"/>
          <w:lang w:val="en-US" w:eastAsia="zh-CN"/>
        </w:rPr>
      </w:pPr>
      <w:r>
        <w:rPr>
          <w:rFonts w:hint="eastAsia"/>
          <w:sz w:val="20"/>
          <w:lang w:val="en-US" w:eastAsia="zh-CN"/>
        </w:rPr>
        <w:t>The intention of the contribution is to share our views on it.</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b w:val="0"/>
          <w:bCs w:val="0"/>
        </w:rPr>
      </w:pPr>
      <w:r>
        <w:rPr>
          <w:rFonts w:ascii="Arial" w:hAnsi="Arial" w:cs="Arial"/>
          <w:b w:val="0"/>
          <w:bCs w:val="0"/>
          <w:kern w:val="0"/>
          <w:sz w:val="32"/>
          <w:szCs w:val="36"/>
        </w:rPr>
        <w:t>Discussion</w:t>
      </w:r>
      <w:bookmarkStart w:id="2" w:name="_Toc12718547"/>
    </w:p>
    <w:p>
      <w:pPr>
        <w:pStyle w:val="95"/>
        <w:ind w:left="0" w:firstLine="0"/>
        <w:rPr>
          <w:rFonts w:hint="default"/>
          <w:b w:val="0"/>
          <w:bCs/>
          <w:i w:val="0"/>
          <w:iCs w:val="0"/>
          <w:lang w:val="en-US" w:eastAsia="zh-CN"/>
        </w:rPr>
      </w:pPr>
      <w:r>
        <w:rPr>
          <w:rFonts w:hint="eastAsia"/>
          <w:b w:val="0"/>
          <w:bCs/>
          <w:lang w:val="en-US" w:eastAsia="zh-CN"/>
        </w:rPr>
        <w:t xml:space="preserve">The issue is for obtaining extra power saving gain from only ignoring PDCCH skipping on the available serving cells not all serving cell. That is, An SR is triggered by a certain LCH because of BSR which may be configured with the </w:t>
      </w:r>
      <w:r>
        <w:rPr>
          <w:rFonts w:hint="eastAsia"/>
          <w:b w:val="0"/>
          <w:bCs/>
          <w:i/>
          <w:iCs/>
          <w:lang w:val="en-US" w:eastAsia="zh-CN"/>
        </w:rPr>
        <w:t xml:space="preserve">allowedServingCells. </w:t>
      </w:r>
      <w:r>
        <w:rPr>
          <w:rFonts w:hint="eastAsia"/>
          <w:b w:val="0"/>
          <w:bCs/>
          <w:i w:val="0"/>
          <w:iCs w:val="0"/>
          <w:lang w:val="en-US" w:eastAsia="zh-CN"/>
        </w:rPr>
        <w:t>From which, the data transmission for the pending SR only can be performed on the allowed serving cell, so the FFS think only allowed serving cell should ignore the PDCCH skipping and others shall keep as they are, then the power saving can be obtained.</w:t>
      </w:r>
    </w:p>
    <w:p>
      <w:pPr>
        <w:pStyle w:val="95"/>
        <w:ind w:left="0" w:firstLine="0"/>
        <w:rPr>
          <w:rFonts w:hint="eastAsia"/>
          <w:b/>
          <w:bCs w:val="0"/>
          <w:i w:val="0"/>
          <w:iCs w:val="0"/>
          <w:lang w:val="en-US" w:eastAsia="zh-CN"/>
        </w:rPr>
      </w:pPr>
      <w:r>
        <w:rPr>
          <w:rFonts w:hint="eastAsia"/>
          <w:b/>
          <w:bCs w:val="0"/>
          <w:i w:val="0"/>
          <w:iCs w:val="0"/>
          <w:lang w:val="en-US" w:eastAsia="zh-CN"/>
        </w:rPr>
        <w:t>Observation 1: Only monitoring PDCCH on the allowed serving cells can obtain the power saving gain because of the pending SR.</w:t>
      </w:r>
    </w:p>
    <w:p>
      <w:pPr>
        <w:pStyle w:val="95"/>
        <w:ind w:left="0" w:firstLine="0"/>
        <w:rPr>
          <w:rFonts w:hint="eastAsia"/>
          <w:b w:val="0"/>
          <w:bCs/>
          <w:i w:val="0"/>
          <w:iCs w:val="0"/>
          <w:lang w:val="en-US" w:eastAsia="zh-CN"/>
        </w:rPr>
      </w:pPr>
      <w:r>
        <w:rPr>
          <w:rFonts w:hint="eastAsia"/>
          <w:b w:val="0"/>
          <w:bCs/>
          <w:lang w:val="en-US" w:eastAsia="zh-CN"/>
        </w:rPr>
        <w:t>First of all, we need to evaluate how much extra gain can be obtained from this FFS. T</w:t>
      </w:r>
      <w:r>
        <w:rPr>
          <w:rFonts w:hint="eastAsia"/>
          <w:b w:val="0"/>
          <w:bCs/>
          <w:i w:val="0"/>
          <w:iCs w:val="0"/>
          <w:lang w:val="en-US" w:eastAsia="zh-CN"/>
        </w:rPr>
        <w:t>he pending SR is not simply only triggered by a LCH for BSR, but also by the BFR and Consistent LBT failure. Hence, the allowed serving cell will be various in response to the different events that triggering SR. For example, for the case that SR triggered by either BFR or consistent LBT failure, allowed serving cells shall be all serving cells. Moreover, from NW implementation point of view, the PUCCH resources is far more precious than any other channels, consider SR is configured per LCH per UE, for saving the SR consumption on PUCCH, One SR resource is mostly share among multiple LCHs, and BFR/Consistent LBT failure. That means the power saving gain obtained from the restriction of the allowed serving cells is quite limited as we imagined.</w:t>
      </w:r>
    </w:p>
    <w:p>
      <w:pPr>
        <w:pStyle w:val="95"/>
        <w:ind w:left="0" w:firstLine="0"/>
        <w:rPr>
          <w:rFonts w:hint="default"/>
          <w:b/>
          <w:bCs w:val="0"/>
          <w:i w:val="0"/>
          <w:iCs w:val="0"/>
          <w:highlight w:val="none"/>
          <w:lang w:val="en-US" w:eastAsia="zh-CN"/>
        </w:rPr>
      </w:pPr>
      <w:r>
        <w:rPr>
          <w:rFonts w:hint="eastAsia"/>
          <w:b/>
          <w:bCs w:val="0"/>
          <w:i w:val="0"/>
          <w:iCs w:val="0"/>
          <w:highlight w:val="none"/>
          <w:lang w:val="en-US" w:eastAsia="zh-CN"/>
        </w:rPr>
        <w:t>Observation 2: The Pending SR for an SR configuration can be triggered by different cases, and one SR resource also can be shared among multiple LCHs/BFR/LBT, the allowed serving cells for the pending SR is different with different cases, the power saving gain from the restriction of the allowed serving cells is quite limited.</w:t>
      </w:r>
    </w:p>
    <w:p>
      <w:pPr>
        <w:pStyle w:val="95"/>
        <w:ind w:left="0" w:firstLine="0"/>
        <w:rPr>
          <w:rFonts w:hint="eastAsia"/>
          <w:b w:val="0"/>
          <w:bCs/>
          <w:i w:val="0"/>
          <w:iCs w:val="0"/>
          <w:lang w:val="en-US" w:eastAsia="zh-CN"/>
        </w:rPr>
      </w:pPr>
      <w:r>
        <w:rPr>
          <w:rFonts w:hint="eastAsia"/>
          <w:b w:val="0"/>
          <w:bCs/>
          <w:i w:val="0"/>
          <w:iCs w:val="0"/>
          <w:lang w:val="en-US" w:eastAsia="zh-CN"/>
        </w:rPr>
        <w:t>In addition, the allowed serving cell for one LCH can be dynamically changed according to the CA duplication status as shown below:</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95"/>
              <w:rPr>
                <w:rFonts w:hint="default"/>
                <w:b w:val="0"/>
                <w:bCs/>
                <w:i w:val="0"/>
                <w:iCs w:val="0"/>
                <w:vertAlign w:val="baseline"/>
                <w:lang w:val="en-US" w:eastAsia="zh-CN"/>
              </w:rPr>
            </w:pPr>
            <w:r>
              <w:rPr>
                <w:i/>
                <w:lang w:eastAsia="ko-KR"/>
              </w:rPr>
              <w:t>allowedServingCells</w:t>
            </w:r>
            <w:r>
              <w:rPr>
                <w:lang w:eastAsia="ko-KR"/>
              </w:rPr>
              <w:t xml:space="preserve">, if configured, includes the Cell information associated to the UL grant. </w:t>
            </w:r>
            <w:r>
              <w:rPr>
                <w:highlight w:val="yellow"/>
                <w:lang w:eastAsia="ko-KR"/>
              </w:rPr>
              <w:t>Does not apply to logical channels associated with a DRB configured with PDCP duplication within the same MAC entity (i.e. CA duplication) when CA duplication is deactivated for this DRB in this MAC entity; and</w:t>
            </w:r>
          </w:p>
        </w:tc>
      </w:tr>
    </w:tbl>
    <w:p>
      <w:pPr>
        <w:pStyle w:val="95"/>
        <w:ind w:left="0" w:firstLine="0"/>
        <w:rPr>
          <w:rFonts w:hint="eastAsia"/>
          <w:b w:val="0"/>
          <w:bCs/>
          <w:i w:val="0"/>
          <w:iCs w:val="0"/>
          <w:lang w:val="en-US" w:eastAsia="zh-CN"/>
        </w:rPr>
      </w:pPr>
      <w:r>
        <w:rPr>
          <w:rFonts w:hint="eastAsia"/>
          <w:b w:val="0"/>
          <w:bCs/>
          <w:i w:val="0"/>
          <w:iCs w:val="0"/>
          <w:lang w:val="en-US" w:eastAsia="zh-CN"/>
        </w:rPr>
        <w:t xml:space="preserve">Assuming that the </w:t>
      </w:r>
      <w:r>
        <w:rPr>
          <w:rFonts w:hint="eastAsia"/>
          <w:b w:val="0"/>
          <w:bCs/>
          <w:i/>
          <w:iCs/>
          <w:lang w:val="en-US" w:eastAsia="zh-CN"/>
        </w:rPr>
        <w:t>allowedservingcell</w:t>
      </w:r>
      <w:r>
        <w:rPr>
          <w:rFonts w:hint="eastAsia"/>
          <w:b w:val="0"/>
          <w:bCs/>
          <w:i w:val="0"/>
          <w:iCs w:val="0"/>
          <w:lang w:val="en-US" w:eastAsia="zh-CN"/>
        </w:rPr>
        <w:t xml:space="preserve"> has an impact on the PDCCH skipping, PHY layer need to obtain the PDCP duplication status information from higher layer(i.e PDCP layer) which means the PDCP layer shall be involved in the PDCCH skipping. Consider the WI has been claimed as 100% in RAN, we should avoid such impact on the exceptional layer. </w:t>
      </w:r>
    </w:p>
    <w:p>
      <w:pPr>
        <w:pStyle w:val="95"/>
        <w:ind w:left="0" w:firstLine="0"/>
        <w:rPr>
          <w:rFonts w:hint="eastAsia"/>
          <w:b w:val="0"/>
          <w:bCs/>
          <w:i w:val="0"/>
          <w:iCs w:val="0"/>
          <w:lang w:val="en-US" w:eastAsia="zh-CN"/>
        </w:rPr>
      </w:pPr>
      <w:r>
        <w:rPr>
          <w:rFonts w:hint="eastAsia"/>
          <w:b/>
          <w:bCs w:val="0"/>
          <w:i w:val="0"/>
          <w:iCs w:val="0"/>
          <w:highlight w:val="none"/>
          <w:lang w:val="en-US" w:eastAsia="zh-CN"/>
        </w:rPr>
        <w:t>Observation 3：The restriction of the allowed serving cells for PDCCH skipping shall have a involvement of PDCP layer.</w:t>
      </w:r>
    </w:p>
    <w:p>
      <w:pPr>
        <w:pStyle w:val="95"/>
        <w:ind w:left="0" w:firstLine="0"/>
        <w:rPr>
          <w:rFonts w:hint="eastAsia"/>
          <w:b w:val="0"/>
          <w:bCs/>
          <w:i w:val="0"/>
          <w:iCs w:val="0"/>
          <w:lang w:val="en-US" w:eastAsia="zh-CN"/>
        </w:rPr>
      </w:pPr>
      <w:r>
        <w:rPr>
          <w:rFonts w:hint="eastAsia"/>
          <w:b w:val="0"/>
          <w:bCs/>
          <w:i w:val="0"/>
          <w:iCs w:val="0"/>
          <w:lang w:val="en-US" w:eastAsia="zh-CN"/>
        </w:rPr>
        <w:t>According to above 2 observations, We suggest:</w:t>
      </w:r>
    </w:p>
    <w:p>
      <w:pPr>
        <w:pStyle w:val="95"/>
        <w:ind w:left="0" w:firstLine="0"/>
        <w:rPr>
          <w:rFonts w:hint="default" w:eastAsiaTheme="minorEastAsia"/>
          <w:b/>
          <w:bCs w:val="0"/>
          <w:i w:val="0"/>
          <w:iCs w:val="0"/>
          <w:lang w:val="en-US" w:eastAsia="zh-CN"/>
        </w:rPr>
      </w:pPr>
      <w:r>
        <w:rPr>
          <w:rFonts w:hint="eastAsia"/>
          <w:b/>
          <w:bCs w:val="0"/>
          <w:i w:val="0"/>
          <w:iCs w:val="0"/>
          <w:lang w:val="en-US" w:eastAsia="zh-CN"/>
        </w:rPr>
        <w:t>Proposal 1: T</w:t>
      </w:r>
      <w:r>
        <w:rPr>
          <w:b/>
          <w:bCs w:val="0"/>
        </w:rPr>
        <w:t>he UE ignores PDCCH skipping on all serving cells of the corresponding CG while SR is pending,</w:t>
      </w:r>
      <w:r>
        <w:rPr>
          <w:rFonts w:hint="eastAsia"/>
          <w:b/>
          <w:bCs w:val="0"/>
          <w:lang w:val="en-US" w:eastAsia="zh-CN"/>
        </w:rPr>
        <w:t xml:space="preserve"> no any enhancements are needed.</w:t>
      </w: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sz w:val="20"/>
          <w:szCs w:val="20"/>
        </w:rPr>
      </w:pPr>
      <w:r>
        <w:rPr>
          <w:rFonts w:hint="eastAsia"/>
          <w:sz w:val="20"/>
          <w:szCs w:val="20"/>
        </w:rPr>
        <w:t>With the above analysis, we have the following conclusions and proposals:</w:t>
      </w:r>
    </w:p>
    <w:p>
      <w:pPr>
        <w:pStyle w:val="95"/>
        <w:ind w:left="0" w:firstLine="0"/>
        <w:rPr>
          <w:rFonts w:hint="eastAsia"/>
          <w:b/>
          <w:bCs w:val="0"/>
          <w:i w:val="0"/>
          <w:iCs w:val="0"/>
          <w:lang w:val="en-US" w:eastAsia="zh-CN"/>
        </w:rPr>
      </w:pPr>
      <w:r>
        <w:rPr>
          <w:rFonts w:hint="eastAsia"/>
          <w:b/>
          <w:bCs w:val="0"/>
          <w:i w:val="0"/>
          <w:iCs w:val="0"/>
          <w:lang w:val="en-US" w:eastAsia="zh-CN"/>
        </w:rPr>
        <w:t>Observation 1: Only monitoring PDCCH on the allowed serving cells can obtain the power saving gain because of the pending SR.</w:t>
      </w:r>
    </w:p>
    <w:p>
      <w:pPr>
        <w:pStyle w:val="95"/>
        <w:ind w:left="0" w:firstLine="0"/>
        <w:rPr>
          <w:rFonts w:hint="default"/>
          <w:b/>
          <w:bCs w:val="0"/>
          <w:i w:val="0"/>
          <w:iCs w:val="0"/>
          <w:highlight w:val="none"/>
          <w:lang w:val="en-US" w:eastAsia="zh-CN"/>
        </w:rPr>
      </w:pPr>
      <w:r>
        <w:rPr>
          <w:rFonts w:hint="eastAsia"/>
          <w:b/>
          <w:bCs w:val="0"/>
          <w:i w:val="0"/>
          <w:iCs w:val="0"/>
          <w:highlight w:val="none"/>
          <w:lang w:val="en-US" w:eastAsia="zh-CN"/>
        </w:rPr>
        <w:t>Observation 2: The Pending SR for an SR configuration can be triggered by different cases, and one SR resource also can be shared among multiple LCHs/BFR/LBT, the allowed serving cells for the pending SR is different with different cases, the power saving gain from the restriction of the allowed serving cells is quite limited.</w:t>
      </w:r>
    </w:p>
    <w:p>
      <w:pPr>
        <w:pStyle w:val="95"/>
        <w:ind w:left="0" w:firstLine="0"/>
        <w:rPr>
          <w:rFonts w:hint="eastAsia"/>
          <w:b w:val="0"/>
          <w:bCs/>
          <w:i w:val="0"/>
          <w:iCs w:val="0"/>
          <w:lang w:val="en-US" w:eastAsia="zh-CN"/>
        </w:rPr>
      </w:pPr>
      <w:r>
        <w:rPr>
          <w:rFonts w:hint="eastAsia"/>
          <w:b/>
          <w:bCs w:val="0"/>
          <w:i w:val="0"/>
          <w:iCs w:val="0"/>
          <w:highlight w:val="none"/>
          <w:lang w:val="en-US" w:eastAsia="zh-CN"/>
        </w:rPr>
        <w:t>Observation 3：the restriction of the allowed serving cells for PDCCH skipping shall have a involvement of PDCP layer.</w:t>
      </w:r>
    </w:p>
    <w:p>
      <w:pPr>
        <w:pStyle w:val="95"/>
        <w:ind w:left="0" w:firstLine="0"/>
        <w:rPr>
          <w:b/>
          <w:lang w:eastAsia="zh-CN"/>
        </w:rPr>
      </w:pPr>
      <w:r>
        <w:rPr>
          <w:rFonts w:hint="eastAsia"/>
          <w:b/>
          <w:bCs w:val="0"/>
          <w:i w:val="0"/>
          <w:iCs w:val="0"/>
          <w:lang w:val="en-US" w:eastAsia="zh-CN"/>
        </w:rPr>
        <w:t>Proposal 1: T</w:t>
      </w:r>
      <w:r>
        <w:rPr>
          <w:b/>
          <w:bCs w:val="0"/>
        </w:rPr>
        <w:t>he UE ignores PDCCH skipping on all serving cells of the corresponding CG while SR is pending,</w:t>
      </w:r>
      <w:r>
        <w:rPr>
          <w:rFonts w:hint="eastAsia"/>
          <w:b/>
          <w:bCs w:val="0"/>
          <w:lang w:val="en-US" w:eastAsia="zh-CN"/>
        </w:rPr>
        <w:t xml:space="preserve"> no any enhancements are needed.</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pStyle w:val="68"/>
        <w:numPr>
          <w:ilvl w:val="0"/>
          <w:numId w:val="4"/>
        </w:numPr>
        <w:spacing w:line="260" w:lineRule="auto"/>
        <w:ind w:firstLine="0" w:firstLineChars="0"/>
        <w:jc w:val="left"/>
        <w:rPr>
          <w:sz w:val="20"/>
          <w:szCs w:val="20"/>
        </w:rPr>
      </w:pPr>
      <w:r>
        <w:rPr>
          <w:rFonts w:hint="eastAsia"/>
          <w:sz w:val="20"/>
          <w:szCs w:val="20"/>
          <w:lang w:val="en-US" w:eastAsia="zh-CN"/>
        </w:rPr>
        <w:t>TS 38.321h00</w:t>
      </w:r>
    </w:p>
    <w:p>
      <w:pPr>
        <w:pStyle w:val="68"/>
        <w:tabs>
          <w:tab w:val="left" w:pos="312"/>
        </w:tabs>
        <w:spacing w:line="260" w:lineRule="auto"/>
        <w:ind w:firstLine="0" w:firstLineChars="0"/>
        <w:jc w:val="left"/>
        <w:rPr>
          <w:sz w:val="20"/>
          <w:szCs w:val="20"/>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0935BEB"/>
    <w:multiLevelType w:val="singleLevel"/>
    <w:tmpl w:val="A0935BEB"/>
    <w:lvl w:ilvl="0" w:tentative="0">
      <w:start w:val="1"/>
      <w:numFmt w:val="decimal"/>
      <w:lvlText w:val="[%1]"/>
      <w:lvlJc w:val="left"/>
      <w:pPr>
        <w:tabs>
          <w:tab w:val="left" w:pos="312"/>
        </w:tabs>
      </w:p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doNotDisplayPageBoundaries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151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2F1"/>
    <w:rsid w:val="00043923"/>
    <w:rsid w:val="00043FCA"/>
    <w:rsid w:val="00045EDE"/>
    <w:rsid w:val="00046E3D"/>
    <w:rsid w:val="000554CA"/>
    <w:rsid w:val="000563ED"/>
    <w:rsid w:val="00057D0E"/>
    <w:rsid w:val="000603D6"/>
    <w:rsid w:val="00062984"/>
    <w:rsid w:val="00062D12"/>
    <w:rsid w:val="00065E88"/>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0A6"/>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0A"/>
    <w:rsid w:val="000E1125"/>
    <w:rsid w:val="000E1993"/>
    <w:rsid w:val="000E3B8A"/>
    <w:rsid w:val="000E65BC"/>
    <w:rsid w:val="000F0A7B"/>
    <w:rsid w:val="000F4CFF"/>
    <w:rsid w:val="000F75F3"/>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3B2"/>
    <w:rsid w:val="00145A52"/>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1F6278"/>
    <w:rsid w:val="00201FFE"/>
    <w:rsid w:val="00202C4B"/>
    <w:rsid w:val="002035B4"/>
    <w:rsid w:val="00203774"/>
    <w:rsid w:val="00203B88"/>
    <w:rsid w:val="00205321"/>
    <w:rsid w:val="00206123"/>
    <w:rsid w:val="00206380"/>
    <w:rsid w:val="002155FA"/>
    <w:rsid w:val="002176DE"/>
    <w:rsid w:val="00220834"/>
    <w:rsid w:val="00223B64"/>
    <w:rsid w:val="0023029F"/>
    <w:rsid w:val="00231281"/>
    <w:rsid w:val="00231D10"/>
    <w:rsid w:val="00231DC2"/>
    <w:rsid w:val="00232A02"/>
    <w:rsid w:val="002333B7"/>
    <w:rsid w:val="002338F8"/>
    <w:rsid w:val="002339C1"/>
    <w:rsid w:val="002344F2"/>
    <w:rsid w:val="002368E4"/>
    <w:rsid w:val="00236F8F"/>
    <w:rsid w:val="00241832"/>
    <w:rsid w:val="00242E0D"/>
    <w:rsid w:val="00244D42"/>
    <w:rsid w:val="00245149"/>
    <w:rsid w:val="00245719"/>
    <w:rsid w:val="00246FFA"/>
    <w:rsid w:val="00247076"/>
    <w:rsid w:val="00247190"/>
    <w:rsid w:val="00247B81"/>
    <w:rsid w:val="00252B94"/>
    <w:rsid w:val="00255E19"/>
    <w:rsid w:val="0025653A"/>
    <w:rsid w:val="00256C2E"/>
    <w:rsid w:val="00257233"/>
    <w:rsid w:val="0025735F"/>
    <w:rsid w:val="00257421"/>
    <w:rsid w:val="00260716"/>
    <w:rsid w:val="0026193E"/>
    <w:rsid w:val="00261A9C"/>
    <w:rsid w:val="00261E11"/>
    <w:rsid w:val="00262518"/>
    <w:rsid w:val="00263EBC"/>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4821"/>
    <w:rsid w:val="002A66AB"/>
    <w:rsid w:val="002B24A3"/>
    <w:rsid w:val="002B2BBC"/>
    <w:rsid w:val="002B351B"/>
    <w:rsid w:val="002B3C48"/>
    <w:rsid w:val="002B434C"/>
    <w:rsid w:val="002B4F1D"/>
    <w:rsid w:val="002B75E7"/>
    <w:rsid w:val="002C0864"/>
    <w:rsid w:val="002C0F12"/>
    <w:rsid w:val="002C3740"/>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3462"/>
    <w:rsid w:val="00403F88"/>
    <w:rsid w:val="004046D6"/>
    <w:rsid w:val="004060CF"/>
    <w:rsid w:val="00406593"/>
    <w:rsid w:val="004069B2"/>
    <w:rsid w:val="00410275"/>
    <w:rsid w:val="00410408"/>
    <w:rsid w:val="00412BED"/>
    <w:rsid w:val="00413229"/>
    <w:rsid w:val="00413D6F"/>
    <w:rsid w:val="00414C56"/>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0A2"/>
    <w:rsid w:val="00471CB7"/>
    <w:rsid w:val="0047305C"/>
    <w:rsid w:val="0047403A"/>
    <w:rsid w:val="00474161"/>
    <w:rsid w:val="00474C36"/>
    <w:rsid w:val="00475E38"/>
    <w:rsid w:val="00475F4A"/>
    <w:rsid w:val="004770A0"/>
    <w:rsid w:val="0048006F"/>
    <w:rsid w:val="004806E7"/>
    <w:rsid w:val="00481C3A"/>
    <w:rsid w:val="00482BBB"/>
    <w:rsid w:val="0048379B"/>
    <w:rsid w:val="0048421C"/>
    <w:rsid w:val="00485114"/>
    <w:rsid w:val="00485AE4"/>
    <w:rsid w:val="00486111"/>
    <w:rsid w:val="00486720"/>
    <w:rsid w:val="00487EEF"/>
    <w:rsid w:val="0049176F"/>
    <w:rsid w:val="00492EA5"/>
    <w:rsid w:val="00493247"/>
    <w:rsid w:val="00495239"/>
    <w:rsid w:val="004966BC"/>
    <w:rsid w:val="00497BD9"/>
    <w:rsid w:val="00497BFB"/>
    <w:rsid w:val="004A0053"/>
    <w:rsid w:val="004A2687"/>
    <w:rsid w:val="004A32AB"/>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C75B1"/>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222E"/>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3D43"/>
    <w:rsid w:val="00585E04"/>
    <w:rsid w:val="005910DD"/>
    <w:rsid w:val="00591803"/>
    <w:rsid w:val="00592AD4"/>
    <w:rsid w:val="00592E35"/>
    <w:rsid w:val="005940C1"/>
    <w:rsid w:val="0059566C"/>
    <w:rsid w:val="0059585E"/>
    <w:rsid w:val="00595E2D"/>
    <w:rsid w:val="00595EDC"/>
    <w:rsid w:val="00596A30"/>
    <w:rsid w:val="00597FF8"/>
    <w:rsid w:val="005A3156"/>
    <w:rsid w:val="005A53DF"/>
    <w:rsid w:val="005A6185"/>
    <w:rsid w:val="005A6F7D"/>
    <w:rsid w:val="005B052E"/>
    <w:rsid w:val="005B220B"/>
    <w:rsid w:val="005B2E19"/>
    <w:rsid w:val="005B66D2"/>
    <w:rsid w:val="005B732F"/>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2FEB"/>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918"/>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4E1F"/>
    <w:rsid w:val="00685237"/>
    <w:rsid w:val="00685541"/>
    <w:rsid w:val="00687194"/>
    <w:rsid w:val="00687500"/>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57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4EE"/>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D32"/>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5154"/>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2B5F"/>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1CB4"/>
    <w:rsid w:val="008F2453"/>
    <w:rsid w:val="008F34E9"/>
    <w:rsid w:val="009009E9"/>
    <w:rsid w:val="00902833"/>
    <w:rsid w:val="009039E2"/>
    <w:rsid w:val="0091196A"/>
    <w:rsid w:val="00911DC9"/>
    <w:rsid w:val="009123FF"/>
    <w:rsid w:val="009164CD"/>
    <w:rsid w:val="00916C40"/>
    <w:rsid w:val="00917271"/>
    <w:rsid w:val="0091740C"/>
    <w:rsid w:val="00922A9F"/>
    <w:rsid w:val="009233DD"/>
    <w:rsid w:val="009233F9"/>
    <w:rsid w:val="0092343B"/>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188"/>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179E"/>
    <w:rsid w:val="00A22250"/>
    <w:rsid w:val="00A227FB"/>
    <w:rsid w:val="00A23621"/>
    <w:rsid w:val="00A2486B"/>
    <w:rsid w:val="00A25160"/>
    <w:rsid w:val="00A2769F"/>
    <w:rsid w:val="00A27E76"/>
    <w:rsid w:val="00A30FAD"/>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33A8"/>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423"/>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05D9"/>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6EEC"/>
    <w:rsid w:val="00B87D03"/>
    <w:rsid w:val="00B87F88"/>
    <w:rsid w:val="00B909E8"/>
    <w:rsid w:val="00B92759"/>
    <w:rsid w:val="00B928EE"/>
    <w:rsid w:val="00B92AD5"/>
    <w:rsid w:val="00B94BA4"/>
    <w:rsid w:val="00B97DB5"/>
    <w:rsid w:val="00BA103C"/>
    <w:rsid w:val="00BA1A22"/>
    <w:rsid w:val="00BA2041"/>
    <w:rsid w:val="00BA40DC"/>
    <w:rsid w:val="00BA4AB8"/>
    <w:rsid w:val="00BA6A67"/>
    <w:rsid w:val="00BB156E"/>
    <w:rsid w:val="00BB3ABA"/>
    <w:rsid w:val="00BB4FEC"/>
    <w:rsid w:val="00BB65B1"/>
    <w:rsid w:val="00BB69D5"/>
    <w:rsid w:val="00BB6B1F"/>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680"/>
    <w:rsid w:val="00BE6936"/>
    <w:rsid w:val="00BE6C9C"/>
    <w:rsid w:val="00BF0409"/>
    <w:rsid w:val="00BF0850"/>
    <w:rsid w:val="00BF11A2"/>
    <w:rsid w:val="00BF3613"/>
    <w:rsid w:val="00BF37B7"/>
    <w:rsid w:val="00BF3CE6"/>
    <w:rsid w:val="00BF5C82"/>
    <w:rsid w:val="00BF6EE0"/>
    <w:rsid w:val="00BF7A5E"/>
    <w:rsid w:val="00C0085D"/>
    <w:rsid w:val="00C00E47"/>
    <w:rsid w:val="00C010AA"/>
    <w:rsid w:val="00C013EF"/>
    <w:rsid w:val="00C0168B"/>
    <w:rsid w:val="00C064FC"/>
    <w:rsid w:val="00C11654"/>
    <w:rsid w:val="00C1166F"/>
    <w:rsid w:val="00C11D21"/>
    <w:rsid w:val="00C11EFC"/>
    <w:rsid w:val="00C1675F"/>
    <w:rsid w:val="00C172FB"/>
    <w:rsid w:val="00C21F2D"/>
    <w:rsid w:val="00C22A96"/>
    <w:rsid w:val="00C23439"/>
    <w:rsid w:val="00C27213"/>
    <w:rsid w:val="00C278C2"/>
    <w:rsid w:val="00C32425"/>
    <w:rsid w:val="00C32A0A"/>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397E"/>
    <w:rsid w:val="00C84D14"/>
    <w:rsid w:val="00C91C45"/>
    <w:rsid w:val="00C9369C"/>
    <w:rsid w:val="00C93EDD"/>
    <w:rsid w:val="00C953EF"/>
    <w:rsid w:val="00C953F6"/>
    <w:rsid w:val="00C97FD3"/>
    <w:rsid w:val="00CA0363"/>
    <w:rsid w:val="00CA06A4"/>
    <w:rsid w:val="00CA1A62"/>
    <w:rsid w:val="00CA2766"/>
    <w:rsid w:val="00CA501F"/>
    <w:rsid w:val="00CA59FA"/>
    <w:rsid w:val="00CA61CF"/>
    <w:rsid w:val="00CB1749"/>
    <w:rsid w:val="00CB3A9F"/>
    <w:rsid w:val="00CB5048"/>
    <w:rsid w:val="00CC10DA"/>
    <w:rsid w:val="00CC156D"/>
    <w:rsid w:val="00CC58C3"/>
    <w:rsid w:val="00CC58E1"/>
    <w:rsid w:val="00CD229F"/>
    <w:rsid w:val="00CD4B35"/>
    <w:rsid w:val="00CD7A3C"/>
    <w:rsid w:val="00CE2D1F"/>
    <w:rsid w:val="00CE3B00"/>
    <w:rsid w:val="00CE52F0"/>
    <w:rsid w:val="00CE6624"/>
    <w:rsid w:val="00CF18A3"/>
    <w:rsid w:val="00CF356A"/>
    <w:rsid w:val="00CF494F"/>
    <w:rsid w:val="00CF4A61"/>
    <w:rsid w:val="00CF5A83"/>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647"/>
    <w:rsid w:val="00D369E4"/>
    <w:rsid w:val="00D41A51"/>
    <w:rsid w:val="00D42DFD"/>
    <w:rsid w:val="00D45E14"/>
    <w:rsid w:val="00D47048"/>
    <w:rsid w:val="00D4755C"/>
    <w:rsid w:val="00D52834"/>
    <w:rsid w:val="00D52AEF"/>
    <w:rsid w:val="00D53782"/>
    <w:rsid w:val="00D544FE"/>
    <w:rsid w:val="00D5596F"/>
    <w:rsid w:val="00D56F3F"/>
    <w:rsid w:val="00D610EE"/>
    <w:rsid w:val="00D61F13"/>
    <w:rsid w:val="00D667F7"/>
    <w:rsid w:val="00D672D6"/>
    <w:rsid w:val="00D679CF"/>
    <w:rsid w:val="00D67D4A"/>
    <w:rsid w:val="00D70B9D"/>
    <w:rsid w:val="00D71FF5"/>
    <w:rsid w:val="00D72B46"/>
    <w:rsid w:val="00D73122"/>
    <w:rsid w:val="00D75D2E"/>
    <w:rsid w:val="00D76206"/>
    <w:rsid w:val="00D77EEA"/>
    <w:rsid w:val="00D806A3"/>
    <w:rsid w:val="00D81BAC"/>
    <w:rsid w:val="00D82710"/>
    <w:rsid w:val="00D83149"/>
    <w:rsid w:val="00D83173"/>
    <w:rsid w:val="00D8380A"/>
    <w:rsid w:val="00D84ABB"/>
    <w:rsid w:val="00D85273"/>
    <w:rsid w:val="00D8560A"/>
    <w:rsid w:val="00D86AD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2DA7"/>
    <w:rsid w:val="00DC51AD"/>
    <w:rsid w:val="00DC5F62"/>
    <w:rsid w:val="00DC7FAF"/>
    <w:rsid w:val="00DD02BA"/>
    <w:rsid w:val="00DD100B"/>
    <w:rsid w:val="00DD42F9"/>
    <w:rsid w:val="00DE05A6"/>
    <w:rsid w:val="00DE1B4A"/>
    <w:rsid w:val="00DE2CFF"/>
    <w:rsid w:val="00DE3330"/>
    <w:rsid w:val="00DE5939"/>
    <w:rsid w:val="00DE7C83"/>
    <w:rsid w:val="00DF0868"/>
    <w:rsid w:val="00DF4CBC"/>
    <w:rsid w:val="00DF5370"/>
    <w:rsid w:val="00DF755B"/>
    <w:rsid w:val="00E0032E"/>
    <w:rsid w:val="00E0082E"/>
    <w:rsid w:val="00E0205D"/>
    <w:rsid w:val="00E03BE1"/>
    <w:rsid w:val="00E048C6"/>
    <w:rsid w:val="00E0737F"/>
    <w:rsid w:val="00E1018A"/>
    <w:rsid w:val="00E120F4"/>
    <w:rsid w:val="00E12A4C"/>
    <w:rsid w:val="00E153F6"/>
    <w:rsid w:val="00E15F7E"/>
    <w:rsid w:val="00E17377"/>
    <w:rsid w:val="00E173DF"/>
    <w:rsid w:val="00E24866"/>
    <w:rsid w:val="00E2780E"/>
    <w:rsid w:val="00E27FC2"/>
    <w:rsid w:val="00E31912"/>
    <w:rsid w:val="00E31B60"/>
    <w:rsid w:val="00E31D33"/>
    <w:rsid w:val="00E34035"/>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6C4B"/>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230C"/>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28CB"/>
    <w:rsid w:val="00EE5769"/>
    <w:rsid w:val="00EE5CA6"/>
    <w:rsid w:val="00EE6916"/>
    <w:rsid w:val="00EF1335"/>
    <w:rsid w:val="00EF1557"/>
    <w:rsid w:val="00EF4AE0"/>
    <w:rsid w:val="00EF4FE8"/>
    <w:rsid w:val="00EF6FA1"/>
    <w:rsid w:val="00F012FF"/>
    <w:rsid w:val="00F01A21"/>
    <w:rsid w:val="00F046E9"/>
    <w:rsid w:val="00F04831"/>
    <w:rsid w:val="00F05AED"/>
    <w:rsid w:val="00F0613A"/>
    <w:rsid w:val="00F12DA8"/>
    <w:rsid w:val="00F1322B"/>
    <w:rsid w:val="00F13699"/>
    <w:rsid w:val="00F16AB3"/>
    <w:rsid w:val="00F241E7"/>
    <w:rsid w:val="00F25124"/>
    <w:rsid w:val="00F25BEF"/>
    <w:rsid w:val="00F26408"/>
    <w:rsid w:val="00F270BA"/>
    <w:rsid w:val="00F308AF"/>
    <w:rsid w:val="00F32911"/>
    <w:rsid w:val="00F337F8"/>
    <w:rsid w:val="00F33B26"/>
    <w:rsid w:val="00F3464D"/>
    <w:rsid w:val="00F34704"/>
    <w:rsid w:val="00F34AA7"/>
    <w:rsid w:val="00F35208"/>
    <w:rsid w:val="00F352C8"/>
    <w:rsid w:val="00F36774"/>
    <w:rsid w:val="00F40064"/>
    <w:rsid w:val="00F405D4"/>
    <w:rsid w:val="00F40AA9"/>
    <w:rsid w:val="00F40C50"/>
    <w:rsid w:val="00F4100B"/>
    <w:rsid w:val="00F429E7"/>
    <w:rsid w:val="00F42F39"/>
    <w:rsid w:val="00F4307A"/>
    <w:rsid w:val="00F43D26"/>
    <w:rsid w:val="00F46B8B"/>
    <w:rsid w:val="00F47660"/>
    <w:rsid w:val="00F507DB"/>
    <w:rsid w:val="00F5236F"/>
    <w:rsid w:val="00F52798"/>
    <w:rsid w:val="00F52C7A"/>
    <w:rsid w:val="00F544AB"/>
    <w:rsid w:val="00F5545B"/>
    <w:rsid w:val="00F5653F"/>
    <w:rsid w:val="00F56A1B"/>
    <w:rsid w:val="00F6079F"/>
    <w:rsid w:val="00F64EA5"/>
    <w:rsid w:val="00F66A3D"/>
    <w:rsid w:val="00F66DF3"/>
    <w:rsid w:val="00F67AB2"/>
    <w:rsid w:val="00F72FE4"/>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280"/>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56CD5"/>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4A3595"/>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A2661"/>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6713A"/>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BE427C"/>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7C5FA7"/>
    <w:rsid w:val="188C3829"/>
    <w:rsid w:val="18A5771F"/>
    <w:rsid w:val="18A90685"/>
    <w:rsid w:val="18AF74E1"/>
    <w:rsid w:val="18CB7663"/>
    <w:rsid w:val="18CD0844"/>
    <w:rsid w:val="18D45411"/>
    <w:rsid w:val="18D63AE2"/>
    <w:rsid w:val="18F8655D"/>
    <w:rsid w:val="18FE2979"/>
    <w:rsid w:val="19057478"/>
    <w:rsid w:val="190E7C32"/>
    <w:rsid w:val="19160144"/>
    <w:rsid w:val="19194293"/>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5A4E78"/>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6709A2"/>
    <w:rsid w:val="22810C1D"/>
    <w:rsid w:val="228B310C"/>
    <w:rsid w:val="22A47B87"/>
    <w:rsid w:val="22B21FB3"/>
    <w:rsid w:val="22B372CC"/>
    <w:rsid w:val="22C0384D"/>
    <w:rsid w:val="22C22C57"/>
    <w:rsid w:val="22DD7E0F"/>
    <w:rsid w:val="22FC347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1D3820"/>
    <w:rsid w:val="2A2033C1"/>
    <w:rsid w:val="2A414207"/>
    <w:rsid w:val="2A460495"/>
    <w:rsid w:val="2A542476"/>
    <w:rsid w:val="2A572019"/>
    <w:rsid w:val="2A606A48"/>
    <w:rsid w:val="2A774F13"/>
    <w:rsid w:val="2A901E01"/>
    <w:rsid w:val="2A9B6F1B"/>
    <w:rsid w:val="2A9E60D9"/>
    <w:rsid w:val="2AA07DD6"/>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902AB1"/>
    <w:rsid w:val="319D0930"/>
    <w:rsid w:val="31A30319"/>
    <w:rsid w:val="31B25CF4"/>
    <w:rsid w:val="31B50898"/>
    <w:rsid w:val="31B62FDB"/>
    <w:rsid w:val="31BA2482"/>
    <w:rsid w:val="31BE47CA"/>
    <w:rsid w:val="31CA1784"/>
    <w:rsid w:val="31CC089F"/>
    <w:rsid w:val="31D01CA2"/>
    <w:rsid w:val="31DF176C"/>
    <w:rsid w:val="31F45A41"/>
    <w:rsid w:val="31FF4B7E"/>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1B1EEB"/>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B814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24490"/>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AE04F0"/>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337EA"/>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9E74DC"/>
    <w:rsid w:val="69A75489"/>
    <w:rsid w:val="69AF6A95"/>
    <w:rsid w:val="69BB706B"/>
    <w:rsid w:val="69C24AC2"/>
    <w:rsid w:val="69C630CF"/>
    <w:rsid w:val="69C8779E"/>
    <w:rsid w:val="69CE20ED"/>
    <w:rsid w:val="69D05E78"/>
    <w:rsid w:val="69D90A84"/>
    <w:rsid w:val="69E1087F"/>
    <w:rsid w:val="6A015DA5"/>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203C9"/>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DB153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D7EE8"/>
    <w:rsid w:val="72251DA4"/>
    <w:rsid w:val="72511B96"/>
    <w:rsid w:val="72712929"/>
    <w:rsid w:val="72735155"/>
    <w:rsid w:val="7274287C"/>
    <w:rsid w:val="728114C6"/>
    <w:rsid w:val="7288016D"/>
    <w:rsid w:val="729446A5"/>
    <w:rsid w:val="729A2B05"/>
    <w:rsid w:val="729B764A"/>
    <w:rsid w:val="729E44D2"/>
    <w:rsid w:val="72A36B4A"/>
    <w:rsid w:val="72B15C2C"/>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04578"/>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61662"/>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C8E97-42F4-4333-AB33-B716993CA2C9}">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5</Pages>
  <Words>1736</Words>
  <Characters>9898</Characters>
  <Lines>82</Lines>
  <Paragraphs>23</Paragraphs>
  <TotalTime>2</TotalTime>
  <ScaleCrop>false</ScaleCrop>
  <LinksUpToDate>false</LinksUpToDate>
  <CharactersWithSpaces>11611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2022-04-25T11:16:08Z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